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Times New Roman" w:hAnsi="Times New Roman" w:eastAsia="黑体" w:cs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第三届广东文艺终身成就奖（艺术类）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       拟推荐人选</w:t>
      </w:r>
      <w:r>
        <w:rPr>
          <w:rFonts w:hint="eastAsia" w:ascii="Times New Roman" w:hAnsi="Times New Roman" w:eastAsia="方正小标宋简体"/>
          <w:sz w:val="44"/>
          <w:szCs w:val="44"/>
        </w:rPr>
        <w:t>公示名单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汕头市）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陈政明（美术）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范泽华（潮剧）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李廷波（潮剧）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管善裕（潮剧）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"/>
          <w:kern w:val="0"/>
          <w:sz w:val="32"/>
          <w:szCs w:val="32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郑健英（潮剧）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kern w:val="0"/>
          <w:sz w:val="32"/>
          <w:szCs w:val="32"/>
          <w:lang w:val="en-US" w:eastAsia="zh-CN"/>
        </w:rPr>
        <w:t>郑志伟（潮剧）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E9B777"/>
    <w:multiLevelType w:val="singleLevel"/>
    <w:tmpl w:val="C2E9B7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F54F6"/>
    <w:rsid w:val="4771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2021-03-01T08:02:00Z</dcterms:created>
  <dc:creator>Administrator</dc:creator>
  <cp:lastModifiedBy>kaik</cp:lastModifiedBy>
  <dcterms:modified xsi:type="dcterms:W3CDTF">2021-03-03T07:38:13Z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